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B2" w:rsidRDefault="004260B2" w:rsidP="004260B2">
      <w:pPr>
        <w:pStyle w:val="Titre1"/>
      </w:pPr>
      <w:bookmarkStart w:id="0" w:name="_Hlk506182241"/>
      <w:r>
        <w:t xml:space="preserve">EFfet des rAidisseurs sur le comportement des zones comprimées dans les assemblages </w:t>
      </w:r>
    </w:p>
    <w:p w:rsidR="004260B2" w:rsidRDefault="004260B2" w:rsidP="004260B2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aps/>
          <w:sz w:val="20"/>
          <w:szCs w:val="20"/>
        </w:rPr>
        <w:t>NOM</w:t>
      </w:r>
      <w:r>
        <w:rPr>
          <w:rFonts w:asciiTheme="majorBidi" w:hAnsiTheme="majorBidi" w:cstheme="majorBidi"/>
          <w:sz w:val="20"/>
          <w:szCs w:val="20"/>
        </w:rPr>
        <w:t xml:space="preserve"> Prénom</w:t>
      </w:r>
      <w:r>
        <w:rPr>
          <w:rFonts w:asciiTheme="majorBidi" w:hAnsiTheme="majorBidi" w:cstheme="majorBidi"/>
          <w:sz w:val="20"/>
          <w:szCs w:val="20"/>
          <w:vertAlign w:val="superscript"/>
        </w:rPr>
        <w:t>1,2,3*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caps/>
          <w:sz w:val="20"/>
          <w:szCs w:val="20"/>
        </w:rPr>
        <w:t>NOM</w:t>
      </w:r>
      <w:r>
        <w:rPr>
          <w:rFonts w:asciiTheme="majorBidi" w:hAnsiTheme="majorBidi" w:cstheme="majorBidi"/>
          <w:sz w:val="20"/>
          <w:szCs w:val="20"/>
        </w:rPr>
        <w:t xml:space="preserve"> Prénom</w:t>
      </w:r>
      <w:r>
        <w:rPr>
          <w:rFonts w:asciiTheme="majorBidi" w:hAnsiTheme="majorBidi" w:cstheme="majorBidi"/>
          <w:sz w:val="20"/>
          <w:szCs w:val="20"/>
          <w:vertAlign w:val="superscript"/>
        </w:rPr>
        <w:t>1,4,5</w:t>
      </w:r>
    </w:p>
    <w:p w:rsidR="004260B2" w:rsidRDefault="004260B2" w:rsidP="004260B2">
      <w:pPr>
        <w:spacing w:after="0"/>
        <w:jc w:val="center"/>
        <w:rPr>
          <w:rFonts w:asciiTheme="majorBidi" w:hAnsiTheme="majorBidi" w:cstheme="majorBidi"/>
          <w:i/>
          <w:iCs/>
          <w:sz w:val="18"/>
          <w:szCs w:val="18"/>
          <w:u w:val="single"/>
        </w:rPr>
      </w:pPr>
      <w:r>
        <w:rPr>
          <w:rFonts w:asciiTheme="majorBidi" w:hAnsiTheme="majorBidi" w:cstheme="majorBidi"/>
          <w:i/>
          <w:iCs/>
          <w:sz w:val="18"/>
          <w:szCs w:val="18"/>
          <w:u w:val="single"/>
        </w:rPr>
        <w:t>Adresses électroniques des auteurs</w:t>
      </w:r>
      <w:r>
        <w:rPr>
          <w:rFonts w:asciiTheme="majorBidi" w:hAnsiTheme="majorBidi" w:cstheme="majorBidi"/>
          <w:iCs/>
          <w:sz w:val="18"/>
          <w:szCs w:val="18"/>
          <w:u w:val="single"/>
          <w:vertAlign w:val="superscript"/>
        </w:rPr>
        <w:t>*</w:t>
      </w:r>
    </w:p>
    <w:p w:rsidR="004260B2" w:rsidRDefault="004260B2" w:rsidP="004260B2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bookmarkStart w:id="1" w:name="_GoBack"/>
      <w:bookmarkEnd w:id="1"/>
    </w:p>
    <w:p w:rsidR="004260B2" w:rsidRDefault="004260B2" w:rsidP="004260B2">
      <w:pPr>
        <w:tabs>
          <w:tab w:val="left" w:pos="8566"/>
        </w:tabs>
        <w:spacing w:after="0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  <w:vertAlign w:val="superscript"/>
        </w:rPr>
        <w:t xml:space="preserve">1 </w:t>
      </w:r>
      <w:r>
        <w:rPr>
          <w:rFonts w:asciiTheme="majorBidi" w:hAnsiTheme="majorBidi" w:cstheme="majorBidi"/>
          <w:sz w:val="18"/>
          <w:szCs w:val="18"/>
        </w:rPr>
        <w:t>LBE, Laboratoire de recherche Bâti dans l’Environnement, Faculté de Génie Civil, USTHB, Alger</w:t>
      </w:r>
      <w:r w:rsidR="004E55A9">
        <w:rPr>
          <w:rFonts w:asciiTheme="majorBidi" w:hAnsiTheme="majorBidi" w:cstheme="majorBidi"/>
          <w:sz w:val="18"/>
          <w:szCs w:val="18"/>
        </w:rPr>
        <w:t>.</w:t>
      </w:r>
    </w:p>
    <w:p w:rsidR="004260B2" w:rsidRDefault="004260B2" w:rsidP="004260B2">
      <w:pPr>
        <w:pStyle w:val="yiv7073455479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  <w:vertAlign w:val="superscript"/>
        </w:rPr>
        <w:t xml:space="preserve">2 </w:t>
      </w:r>
      <w:r>
        <w:rPr>
          <w:rFonts w:asciiTheme="majorBidi" w:hAnsiTheme="majorBidi" w:cstheme="majorBidi"/>
          <w:color w:val="000000"/>
          <w:sz w:val="18"/>
          <w:szCs w:val="18"/>
        </w:rPr>
        <w:t>Université Clermont Auvergne, Institut Pascal, BP 10448, Clermont-Ferrand, France.</w:t>
      </w:r>
    </w:p>
    <w:p w:rsidR="004260B2" w:rsidRDefault="004260B2" w:rsidP="004260B2">
      <w:pPr>
        <w:pStyle w:val="yiv7073455479msonormal"/>
        <w:shd w:val="clear" w:color="auto" w:fill="FFFFFF"/>
        <w:spacing w:before="0" w:beforeAutospacing="0" w:after="0" w:afterAutospacing="0"/>
        <w:rPr>
          <w:rStyle w:val="apple-converted-space"/>
        </w:rPr>
      </w:pPr>
      <w:r>
        <w:rPr>
          <w:rFonts w:asciiTheme="majorBidi" w:hAnsiTheme="majorBidi" w:cstheme="majorBidi"/>
          <w:color w:val="000000"/>
          <w:sz w:val="18"/>
          <w:szCs w:val="18"/>
          <w:vertAlign w:val="superscript"/>
        </w:rPr>
        <w:t xml:space="preserve">3 </w:t>
      </w:r>
      <w:r>
        <w:rPr>
          <w:rFonts w:asciiTheme="majorBidi" w:hAnsiTheme="majorBidi" w:cstheme="majorBidi"/>
          <w:color w:val="000000"/>
          <w:sz w:val="18"/>
          <w:szCs w:val="18"/>
        </w:rPr>
        <w:t xml:space="preserve">CNRS, UMR 6602, Institut Pascal, 63171, Aubière, France. </w:t>
      </w:r>
      <w:r>
        <w:rPr>
          <w:rStyle w:val="apple-converted-space"/>
          <w:rFonts w:asciiTheme="majorBidi" w:hAnsiTheme="majorBidi" w:cstheme="majorBidi"/>
          <w:color w:val="000000"/>
          <w:sz w:val="18"/>
          <w:szCs w:val="18"/>
        </w:rPr>
        <w:t> </w:t>
      </w:r>
    </w:p>
    <w:p w:rsidR="004260B2" w:rsidRDefault="004260B2" w:rsidP="004260B2">
      <w:pPr>
        <w:pStyle w:val="yiv7073455479msonormal"/>
        <w:shd w:val="clear" w:color="auto" w:fill="FFFFFF"/>
        <w:spacing w:before="0" w:beforeAutospacing="0" w:after="0" w:afterAutospacing="0"/>
      </w:pPr>
      <w:r>
        <w:rPr>
          <w:rFonts w:asciiTheme="majorBidi" w:hAnsiTheme="majorBidi" w:cstheme="majorBidi"/>
          <w:color w:val="000000"/>
          <w:sz w:val="18"/>
          <w:szCs w:val="18"/>
          <w:vertAlign w:val="superscript"/>
        </w:rPr>
        <w:t xml:space="preserve">4 </w:t>
      </w:r>
      <w:r>
        <w:rPr>
          <w:rFonts w:asciiTheme="majorBidi" w:hAnsiTheme="majorBidi" w:cstheme="majorBidi"/>
          <w:color w:val="000000"/>
          <w:sz w:val="18"/>
          <w:szCs w:val="18"/>
        </w:rPr>
        <w:t>EOLE, Département de Génie civil, Faculté de Technologie, Université de Tlemcen, Algérie</w:t>
      </w:r>
      <w:r w:rsidR="004E55A9">
        <w:rPr>
          <w:rFonts w:asciiTheme="majorBidi" w:hAnsiTheme="majorBidi" w:cstheme="majorBidi"/>
          <w:color w:val="000000"/>
          <w:sz w:val="18"/>
          <w:szCs w:val="18"/>
        </w:rPr>
        <w:t>.</w:t>
      </w:r>
    </w:p>
    <w:p w:rsidR="004260B2" w:rsidRPr="005A0BA9" w:rsidRDefault="004260B2" w:rsidP="004260B2">
      <w:pPr>
        <w:pStyle w:val="yiv7073455479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  <w:vertAlign w:val="superscript"/>
        </w:rPr>
        <w:t xml:space="preserve">5 </w:t>
      </w:r>
      <w:r>
        <w:rPr>
          <w:rFonts w:asciiTheme="majorBidi" w:hAnsiTheme="majorBidi" w:cstheme="majorBidi"/>
          <w:color w:val="000000"/>
          <w:sz w:val="18"/>
          <w:szCs w:val="18"/>
        </w:rPr>
        <w:t>CNERIB, Centre National d’Etudes et de Recherches Intégrées du Bâtiment, Souidania, Alger</w:t>
      </w:r>
      <w:r w:rsidR="004E55A9">
        <w:rPr>
          <w:rFonts w:asciiTheme="majorBidi" w:hAnsiTheme="majorBidi" w:cstheme="majorBidi"/>
          <w:color w:val="000000"/>
          <w:sz w:val="18"/>
          <w:szCs w:val="18"/>
        </w:rPr>
        <w:t>.</w:t>
      </w:r>
    </w:p>
    <w:bookmarkEnd w:id="0"/>
    <w:p w:rsidR="008A2514" w:rsidRPr="006731CB" w:rsidRDefault="008A2514" w:rsidP="00E609FF">
      <w:pPr>
        <w:spacing w:before="240"/>
        <w:rPr>
          <w:rFonts w:asciiTheme="majorBidi" w:hAnsiTheme="majorBidi" w:cstheme="majorBidi"/>
          <w:sz w:val="20"/>
          <w:szCs w:val="20"/>
        </w:rPr>
      </w:pPr>
      <w:r w:rsidRPr="006731CB">
        <w:rPr>
          <w:rFonts w:asciiTheme="majorBidi" w:hAnsiTheme="majorBidi" w:cstheme="majorBidi"/>
          <w:b/>
          <w:bCs/>
          <w:sz w:val="20"/>
          <w:szCs w:val="20"/>
        </w:rPr>
        <w:t>Mots-Clefs :</w:t>
      </w:r>
      <w:r w:rsidRPr="006731CB">
        <w:rPr>
          <w:rFonts w:asciiTheme="majorBidi" w:hAnsiTheme="majorBidi" w:cstheme="majorBidi"/>
          <w:sz w:val="20"/>
          <w:szCs w:val="20"/>
        </w:rPr>
        <w:t xml:space="preserve"> 5 mots clefs maximum.</w:t>
      </w:r>
    </w:p>
    <w:p w:rsidR="008A2514" w:rsidRPr="00D7486C" w:rsidRDefault="005A5982" w:rsidP="006D723F">
      <w:pPr>
        <w:pStyle w:val="Titre2"/>
      </w:pPr>
      <w:r w:rsidRPr="00852CDD">
        <w:t>Résumé</w:t>
      </w:r>
      <w:r w:rsidR="00F95486">
        <w:t xml:space="preserve"> étendu</w:t>
      </w:r>
      <w:r w:rsidR="008A2514" w:rsidRPr="00D7486C">
        <w:t xml:space="preserve"> </w:t>
      </w:r>
    </w:p>
    <w:p w:rsidR="005A5982" w:rsidRPr="005A5982" w:rsidRDefault="005A5982" w:rsidP="005A5982">
      <w:r w:rsidRPr="005A5982">
        <w:t>Ce document donne les consignes de rédaction du résumé étendu de 2 pages pour le congrès CICOMM201</w:t>
      </w:r>
      <w:r w:rsidR="004260B2">
        <w:t>8</w:t>
      </w:r>
      <w:r w:rsidRPr="005A5982">
        <w:t xml:space="preserve">. Le résumé étendu sera intégré aux actes imprimés distribués lors du congrès. </w:t>
      </w:r>
    </w:p>
    <w:p w:rsidR="005A5982" w:rsidRPr="005A5982" w:rsidRDefault="005A5982" w:rsidP="005A5982">
      <w:r w:rsidRPr="005A5982">
        <w:t>Ce résumé de 2 pages doit contenir les informations essentielles de la version longue (10 pages maxi) qui sera elle disponible sur support numérique.</w:t>
      </w:r>
    </w:p>
    <w:p w:rsidR="005A5982" w:rsidRPr="005A5982" w:rsidRDefault="005A5982" w:rsidP="005A5982">
      <w:r w:rsidRPr="005A5982">
        <w:rPr>
          <w:b/>
          <w:color w:val="FF0000"/>
        </w:rPr>
        <w:t>Les instructions de présentation et de mise en page du document sont les mêmes que celles de la communication longue</w:t>
      </w:r>
      <w:r w:rsidRPr="005A5982">
        <w:t xml:space="preserve">. </w:t>
      </w:r>
    </w:p>
    <w:p w:rsidR="005A5982" w:rsidRPr="005A5982" w:rsidRDefault="005A5982" w:rsidP="005A5982">
      <w:r w:rsidRPr="005A5982">
        <w:t xml:space="preserve">Il est nécessaire de se conformer au nombre de </w:t>
      </w:r>
      <w:r w:rsidRPr="005A5982">
        <w:rPr>
          <w:b/>
        </w:rPr>
        <w:t>2 pages</w:t>
      </w:r>
      <w:r w:rsidRPr="005A5982">
        <w:t xml:space="preserve"> pour faciliter la mise en forme des actes du congrès.  </w:t>
      </w:r>
    </w:p>
    <w:p w:rsidR="005A5982" w:rsidRPr="005A5982" w:rsidRDefault="005A5982" w:rsidP="005A5982">
      <w:r w:rsidRPr="00852CDD">
        <w:rPr>
          <w:u w:val="single"/>
        </w:rPr>
        <w:t>Le résumé étendu doit contenir</w:t>
      </w:r>
      <w:r w:rsidRPr="005A5982">
        <w:t xml:space="preserve"> : </w:t>
      </w:r>
    </w:p>
    <w:p w:rsidR="005A5982" w:rsidRDefault="005A5982" w:rsidP="00852CDD">
      <w:pPr>
        <w:pStyle w:val="Paragraphedeliste"/>
        <w:numPr>
          <w:ilvl w:val="0"/>
          <w:numId w:val="5"/>
        </w:numPr>
      </w:pPr>
      <w:r>
        <w:t xml:space="preserve">Titre + auteurs et affiliations  </w:t>
      </w:r>
    </w:p>
    <w:p w:rsidR="005A5982" w:rsidRPr="005A5982" w:rsidRDefault="005A5982" w:rsidP="00852CDD">
      <w:pPr>
        <w:pStyle w:val="Paragraphedeliste"/>
        <w:numPr>
          <w:ilvl w:val="0"/>
          <w:numId w:val="5"/>
        </w:numPr>
      </w:pPr>
      <w:r>
        <w:t xml:space="preserve">Résumé </w:t>
      </w:r>
      <w:r w:rsidR="00F95486">
        <w:t xml:space="preserve">étendu </w:t>
      </w:r>
      <w:r>
        <w:t>(</w:t>
      </w:r>
      <w:r w:rsidRPr="005A5982">
        <w:t>contenu s</w:t>
      </w:r>
      <w:r>
        <w:t xml:space="preserve">cientifique de la communication, </w:t>
      </w:r>
      <w:r w:rsidRPr="005A5982">
        <w:t>contexte, méthodes/approches, résultats principaux)</w:t>
      </w:r>
    </w:p>
    <w:p w:rsidR="005A5982" w:rsidRPr="005A5982" w:rsidRDefault="005A5982" w:rsidP="00852CDD">
      <w:pPr>
        <w:pStyle w:val="Paragraphedeliste"/>
        <w:numPr>
          <w:ilvl w:val="0"/>
          <w:numId w:val="5"/>
        </w:numPr>
      </w:pPr>
      <w:r w:rsidRPr="005A5982">
        <w:t>1 figure + 1 tableau (au maximum)</w:t>
      </w:r>
    </w:p>
    <w:p w:rsidR="005A5982" w:rsidRPr="005A5982" w:rsidRDefault="005A5982" w:rsidP="00852CDD">
      <w:pPr>
        <w:pStyle w:val="Paragraphedeliste"/>
        <w:numPr>
          <w:ilvl w:val="0"/>
          <w:numId w:val="5"/>
        </w:numPr>
      </w:pPr>
      <w:r>
        <w:t>C</w:t>
      </w:r>
      <w:r w:rsidRPr="005A5982">
        <w:t xml:space="preserve">onclusion </w:t>
      </w:r>
    </w:p>
    <w:p w:rsidR="005A5982" w:rsidRPr="005A5982" w:rsidRDefault="005A5982" w:rsidP="00852CDD">
      <w:pPr>
        <w:pStyle w:val="Paragraphedeliste"/>
        <w:numPr>
          <w:ilvl w:val="0"/>
          <w:numId w:val="5"/>
        </w:numPr>
      </w:pPr>
      <w:r w:rsidRPr="005A5982">
        <w:t>Des références bibliographiques (éventuellement une partie de celles de la version longue).</w:t>
      </w:r>
    </w:p>
    <w:p w:rsidR="008B16DC" w:rsidRPr="00A738CC" w:rsidRDefault="00A738CC" w:rsidP="00A738CC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0ADF6409" wp14:editId="370D5AC0">
            <wp:extent cx="1887444" cy="109529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24" cy="109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14" w:rsidRPr="001509BD" w:rsidRDefault="008A2514" w:rsidP="001509BD">
      <w:pPr>
        <w:spacing w:before="120"/>
        <w:jc w:val="center"/>
        <w:rPr>
          <w:rFonts w:asciiTheme="majorBidi" w:hAnsiTheme="majorBidi" w:cstheme="majorBidi"/>
          <w:sz w:val="18"/>
          <w:szCs w:val="18"/>
        </w:rPr>
      </w:pPr>
      <w:r w:rsidRPr="001509BD">
        <w:rPr>
          <w:rFonts w:asciiTheme="majorBidi" w:hAnsiTheme="majorBidi" w:cstheme="majorBidi"/>
          <w:sz w:val="18"/>
          <w:szCs w:val="18"/>
        </w:rPr>
        <w:t>Figure 1</w:t>
      </w:r>
      <w:r w:rsidR="004260B2">
        <w:rPr>
          <w:rFonts w:asciiTheme="majorBidi" w:hAnsiTheme="majorBidi" w:cstheme="majorBidi"/>
          <w:sz w:val="18"/>
          <w:szCs w:val="18"/>
        </w:rPr>
        <w:t>-</w:t>
      </w:r>
      <w:r w:rsidRPr="001509BD">
        <w:rPr>
          <w:rFonts w:asciiTheme="majorBidi" w:hAnsiTheme="majorBidi" w:cstheme="majorBidi"/>
          <w:sz w:val="18"/>
          <w:szCs w:val="18"/>
        </w:rPr>
        <w:t xml:space="preserve"> </w:t>
      </w:r>
      <w:r w:rsidR="00E51DD7" w:rsidRPr="001509BD">
        <w:rPr>
          <w:rFonts w:asciiTheme="majorBidi" w:hAnsiTheme="majorBidi" w:cstheme="majorBidi"/>
          <w:sz w:val="18"/>
          <w:szCs w:val="18"/>
        </w:rPr>
        <w:t xml:space="preserve">Assemblage couvre-joint </w:t>
      </w:r>
      <w:r w:rsidR="00161F02" w:rsidRPr="001509BD">
        <w:rPr>
          <w:rFonts w:asciiTheme="majorBidi" w:hAnsiTheme="majorBidi" w:cstheme="majorBidi"/>
          <w:sz w:val="18"/>
          <w:szCs w:val="18"/>
        </w:rPr>
        <w:t>avec fourrures</w:t>
      </w:r>
    </w:p>
    <w:p w:rsidR="008A2514" w:rsidRPr="00514E27" w:rsidRDefault="008A2514" w:rsidP="00E037F7">
      <w:pPr>
        <w:spacing w:before="120"/>
        <w:jc w:val="center"/>
        <w:rPr>
          <w:rFonts w:asciiTheme="majorBidi" w:hAnsiTheme="majorBidi" w:cstheme="majorBidi"/>
          <w:sz w:val="18"/>
          <w:szCs w:val="18"/>
        </w:rPr>
      </w:pPr>
      <w:r w:rsidRPr="00514E27">
        <w:rPr>
          <w:rFonts w:asciiTheme="majorBidi" w:hAnsiTheme="majorBidi" w:cstheme="majorBidi"/>
          <w:sz w:val="18"/>
          <w:szCs w:val="18"/>
        </w:rPr>
        <w:t>Tableau 1</w:t>
      </w:r>
      <w:r w:rsidR="004260B2">
        <w:rPr>
          <w:rFonts w:asciiTheme="majorBidi" w:hAnsiTheme="majorBidi" w:cstheme="majorBidi"/>
          <w:sz w:val="18"/>
          <w:szCs w:val="18"/>
        </w:rPr>
        <w:t>-</w:t>
      </w:r>
      <w:r w:rsidRPr="00514E27">
        <w:rPr>
          <w:rFonts w:asciiTheme="majorBidi" w:hAnsiTheme="majorBidi" w:cstheme="majorBidi"/>
          <w:sz w:val="18"/>
          <w:szCs w:val="18"/>
        </w:rPr>
        <w:t xml:space="preserve"> </w:t>
      </w:r>
      <w:r w:rsidR="00514E27">
        <w:rPr>
          <w:rFonts w:asciiTheme="majorBidi" w:hAnsiTheme="majorBidi" w:cstheme="majorBidi"/>
          <w:sz w:val="18"/>
          <w:szCs w:val="18"/>
        </w:rPr>
        <w:t>Catégories d’attaches boulonnées</w:t>
      </w:r>
    </w:p>
    <w:p w:rsidR="00514E27" w:rsidRDefault="00514E27" w:rsidP="00514E27">
      <w:pPr>
        <w:spacing w:after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drawing>
          <wp:inline distT="0" distB="0" distL="0" distR="0" wp14:anchorId="165F5B68" wp14:editId="63426E95">
            <wp:extent cx="4606738" cy="1536445"/>
            <wp:effectExtent l="19050" t="0" r="3362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8" cy="153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E27" w:rsidRPr="00514E27" w:rsidRDefault="00514E27" w:rsidP="004049B8">
      <w:pPr>
        <w:spacing w:after="0"/>
        <w:rPr>
          <w:rFonts w:asciiTheme="majorBidi" w:hAnsiTheme="majorBidi" w:cstheme="majorBidi"/>
          <w:sz w:val="12"/>
          <w:szCs w:val="12"/>
        </w:rPr>
      </w:pPr>
    </w:p>
    <w:p w:rsidR="008A2514" w:rsidRDefault="00C867BD" w:rsidP="006D723F">
      <w:pPr>
        <w:pStyle w:val="Titre2"/>
      </w:pPr>
      <w:r>
        <w:t>Conclusion</w:t>
      </w:r>
    </w:p>
    <w:p w:rsidR="00C867BD" w:rsidRPr="00C867BD" w:rsidRDefault="00C867BD" w:rsidP="00C867BD"/>
    <w:p w:rsidR="00C867BD" w:rsidRPr="00514E27" w:rsidRDefault="00C867BD" w:rsidP="006D723F">
      <w:pPr>
        <w:pStyle w:val="Titre2"/>
      </w:pPr>
      <w:r w:rsidRPr="00514E27">
        <w:lastRenderedPageBreak/>
        <w:t>Bibliographie</w:t>
      </w:r>
    </w:p>
    <w:p w:rsidR="00DD5B12" w:rsidRPr="00C26C23" w:rsidRDefault="00DD5B12" w:rsidP="00C26C23">
      <w:pPr>
        <w:pStyle w:val="Paragraphedeliste"/>
        <w:numPr>
          <w:ilvl w:val="0"/>
          <w:numId w:val="1"/>
        </w:numPr>
        <w:spacing w:after="60"/>
        <w:ind w:hanging="357"/>
        <w:rPr>
          <w:rFonts w:asciiTheme="majorBidi" w:hAnsiTheme="majorBidi" w:cstheme="majorBidi"/>
          <w:i/>
          <w:iCs/>
          <w:sz w:val="18"/>
          <w:szCs w:val="18"/>
          <w:lang w:val="en-US"/>
        </w:rPr>
      </w:pPr>
      <w:r w:rsidRPr="00C26C23">
        <w:rPr>
          <w:rFonts w:asciiTheme="majorBidi" w:hAnsiTheme="majorBidi" w:cstheme="majorBidi"/>
          <w:sz w:val="18"/>
          <w:szCs w:val="18"/>
          <w:lang w:val="en-US"/>
        </w:rPr>
        <w:t xml:space="preserve">Adey B.T., </w:t>
      </w:r>
      <w:proofErr w:type="spellStart"/>
      <w:r w:rsidRPr="00C26C23">
        <w:rPr>
          <w:rFonts w:asciiTheme="majorBidi" w:hAnsiTheme="majorBidi" w:cstheme="majorBidi"/>
          <w:sz w:val="18"/>
          <w:szCs w:val="18"/>
          <w:lang w:val="en-US"/>
        </w:rPr>
        <w:t>Grondin</w:t>
      </w:r>
      <w:proofErr w:type="spellEnd"/>
      <w:r w:rsidRPr="00C26C23">
        <w:rPr>
          <w:rFonts w:asciiTheme="majorBidi" w:hAnsiTheme="majorBidi" w:cstheme="majorBidi"/>
          <w:sz w:val="18"/>
          <w:szCs w:val="18"/>
          <w:lang w:val="en-US"/>
        </w:rPr>
        <w:t xml:space="preserve"> G.Y. and Cheng J.J.R., 2000</w:t>
      </w:r>
      <w:r w:rsidR="0043619C" w:rsidRPr="00C26C23">
        <w:rPr>
          <w:rFonts w:asciiTheme="majorBidi" w:hAnsiTheme="majorBidi" w:cstheme="majorBidi"/>
          <w:sz w:val="18"/>
          <w:szCs w:val="18"/>
          <w:lang w:val="en-US"/>
        </w:rPr>
        <w:t>.</w:t>
      </w:r>
      <w:r w:rsidR="00C26C23" w:rsidRPr="00C26C23">
        <w:rPr>
          <w:rFonts w:asciiTheme="majorBidi" w:hAnsiTheme="majorBidi" w:cstheme="majorBidi"/>
          <w:sz w:val="18"/>
          <w:szCs w:val="18"/>
          <w:lang w:val="en-US"/>
        </w:rPr>
        <w:t xml:space="preserve"> </w:t>
      </w:r>
      <w:r w:rsidRPr="00C26C23">
        <w:rPr>
          <w:rFonts w:cs="Times New Roman"/>
          <w:i/>
          <w:iCs/>
          <w:sz w:val="18"/>
          <w:szCs w:val="18"/>
          <w:lang w:val="en-US"/>
        </w:rPr>
        <w:t xml:space="preserve">Cyclic loading of end plate moment </w:t>
      </w:r>
      <w:r w:rsidRPr="00C26C23">
        <w:rPr>
          <w:rFonts w:asciiTheme="majorBidi" w:hAnsiTheme="majorBidi" w:cstheme="majorBidi"/>
          <w:i/>
          <w:iCs/>
          <w:sz w:val="18"/>
          <w:szCs w:val="18"/>
          <w:lang w:val="en-US"/>
        </w:rPr>
        <w:t>connections</w:t>
      </w:r>
      <w:r w:rsidRPr="00C26C23">
        <w:rPr>
          <w:rFonts w:cs="Times New Roman"/>
          <w:sz w:val="18"/>
          <w:szCs w:val="18"/>
          <w:lang w:val="en-US"/>
        </w:rPr>
        <w:t xml:space="preserve">. Canadian Journal of Civil Engineering 27 (4), pp. 683–701. </w:t>
      </w:r>
    </w:p>
    <w:p w:rsidR="00C26C23" w:rsidRPr="00C26C23" w:rsidRDefault="00DD5B12" w:rsidP="00C26C23">
      <w:pPr>
        <w:pStyle w:val="Paragraphedeliste"/>
        <w:numPr>
          <w:ilvl w:val="0"/>
          <w:numId w:val="1"/>
        </w:numPr>
        <w:spacing w:after="60"/>
        <w:ind w:hanging="357"/>
        <w:rPr>
          <w:rFonts w:asciiTheme="majorBidi" w:hAnsiTheme="majorBidi" w:cstheme="majorBidi"/>
          <w:sz w:val="18"/>
          <w:szCs w:val="18"/>
        </w:rPr>
      </w:pPr>
      <w:proofErr w:type="spellStart"/>
      <w:r w:rsidRPr="00C26C23">
        <w:rPr>
          <w:rFonts w:asciiTheme="majorBidi" w:hAnsiTheme="majorBidi" w:cstheme="majorBidi"/>
          <w:sz w:val="18"/>
          <w:szCs w:val="18"/>
          <w:lang w:val="en-US"/>
        </w:rPr>
        <w:t>Bourrier</w:t>
      </w:r>
      <w:proofErr w:type="spellEnd"/>
      <w:r w:rsidRPr="00C26C23">
        <w:rPr>
          <w:rFonts w:asciiTheme="majorBidi" w:hAnsiTheme="majorBidi" w:cstheme="majorBidi"/>
          <w:sz w:val="18"/>
          <w:szCs w:val="18"/>
          <w:lang w:val="en-US"/>
        </w:rPr>
        <w:t xml:space="preserve"> P. and </w:t>
      </w:r>
      <w:proofErr w:type="spellStart"/>
      <w:r w:rsidRPr="00C26C23">
        <w:rPr>
          <w:rFonts w:asciiTheme="majorBidi" w:hAnsiTheme="majorBidi" w:cstheme="majorBidi"/>
          <w:sz w:val="18"/>
          <w:szCs w:val="18"/>
          <w:lang w:val="en-US"/>
        </w:rPr>
        <w:t>Brozzetti</w:t>
      </w:r>
      <w:proofErr w:type="spellEnd"/>
      <w:r w:rsidRPr="00C26C23">
        <w:rPr>
          <w:rFonts w:asciiTheme="majorBidi" w:hAnsiTheme="majorBidi" w:cstheme="majorBidi"/>
          <w:sz w:val="18"/>
          <w:szCs w:val="18"/>
          <w:lang w:val="en-US"/>
        </w:rPr>
        <w:t xml:space="preserve"> J., 1996. </w:t>
      </w:r>
      <w:r w:rsidRPr="00C26C23">
        <w:rPr>
          <w:rFonts w:cs="Times New Roman"/>
          <w:i/>
          <w:iCs/>
          <w:sz w:val="18"/>
          <w:szCs w:val="18"/>
        </w:rPr>
        <w:t xml:space="preserve">Construction métallique et mixte acier-béton, calcul et </w:t>
      </w:r>
      <w:r w:rsidRPr="00C26C23">
        <w:rPr>
          <w:rFonts w:asciiTheme="majorBidi" w:hAnsiTheme="majorBidi" w:cstheme="majorBidi"/>
          <w:i/>
          <w:iCs/>
          <w:sz w:val="18"/>
          <w:szCs w:val="18"/>
        </w:rPr>
        <w:t>dimensionnement selon EC3 et EC4</w:t>
      </w:r>
      <w:r w:rsidRPr="00C26C23">
        <w:rPr>
          <w:rFonts w:cs="Times New Roman"/>
          <w:sz w:val="18"/>
          <w:szCs w:val="18"/>
        </w:rPr>
        <w:t>, APK, édition Eyrolles, Paris.</w:t>
      </w:r>
      <w:r w:rsidR="00C26C23" w:rsidRPr="00C26C23">
        <w:rPr>
          <w:rFonts w:asciiTheme="majorBidi" w:hAnsiTheme="majorBidi" w:cstheme="majorBidi"/>
          <w:sz w:val="18"/>
          <w:szCs w:val="18"/>
        </w:rPr>
        <w:t xml:space="preserve"> </w:t>
      </w:r>
    </w:p>
    <w:p w:rsidR="00DA2846" w:rsidRPr="005A5982" w:rsidRDefault="00C26C23" w:rsidP="00C26C23">
      <w:pPr>
        <w:pStyle w:val="Paragraphedeliste"/>
        <w:numPr>
          <w:ilvl w:val="0"/>
          <w:numId w:val="1"/>
        </w:numPr>
        <w:spacing w:after="60"/>
        <w:ind w:hanging="357"/>
        <w:rPr>
          <w:rFonts w:asciiTheme="majorBidi" w:hAnsiTheme="majorBidi" w:cstheme="majorBidi"/>
          <w:sz w:val="18"/>
          <w:szCs w:val="18"/>
          <w:lang w:val="en-US"/>
        </w:rPr>
      </w:pPr>
      <w:r w:rsidRPr="00C26C23">
        <w:rPr>
          <w:rFonts w:asciiTheme="majorBidi" w:hAnsiTheme="majorBidi" w:cstheme="majorBidi"/>
          <w:sz w:val="18"/>
          <w:szCs w:val="18"/>
          <w:lang w:val="en-US"/>
        </w:rPr>
        <w:t xml:space="preserve">Brown N. D., Hughes A. F. and Anderson D., 2001. </w:t>
      </w:r>
      <w:r w:rsidRPr="00C26C23">
        <w:rPr>
          <w:rFonts w:cs="Times New Roman"/>
          <w:i/>
          <w:iCs/>
          <w:sz w:val="18"/>
          <w:szCs w:val="18"/>
          <w:lang w:val="en-US"/>
        </w:rPr>
        <w:t xml:space="preserve">Prediction of the initial stiffness of </w:t>
      </w:r>
      <w:r w:rsidRPr="00C26C23">
        <w:rPr>
          <w:rFonts w:asciiTheme="majorBidi" w:hAnsiTheme="majorBidi" w:cstheme="majorBidi"/>
          <w:i/>
          <w:iCs/>
          <w:sz w:val="18"/>
          <w:szCs w:val="18"/>
          <w:lang w:val="en-US"/>
        </w:rPr>
        <w:t>ductile end-plate steel connections</w:t>
      </w:r>
      <w:r w:rsidRPr="00C26C23">
        <w:rPr>
          <w:rFonts w:cs="Times New Roman"/>
          <w:sz w:val="18"/>
          <w:szCs w:val="18"/>
          <w:lang w:val="en-US"/>
        </w:rPr>
        <w:t xml:space="preserve">, Proceeding of the Institution of Civil Engineers, </w:t>
      </w:r>
      <w:r w:rsidRPr="00C26C23">
        <w:rPr>
          <w:rFonts w:asciiTheme="majorBidi" w:hAnsiTheme="majorBidi" w:cstheme="majorBidi"/>
          <w:sz w:val="18"/>
          <w:szCs w:val="18"/>
          <w:lang w:val="en-US"/>
        </w:rPr>
        <w:t>structures &amp; Buildings, Vol. 146, issue 1, pp. 17-29.</w:t>
      </w:r>
    </w:p>
    <w:sectPr w:rsidR="00DA2846" w:rsidRPr="005A5982" w:rsidSect="00E609FF">
      <w:headerReference w:type="default" r:id="rId10"/>
      <w:pgSz w:w="11906" w:h="16838" w:code="9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15" w:rsidRDefault="00643C15" w:rsidP="008A2514">
      <w:pPr>
        <w:spacing w:after="0"/>
      </w:pPr>
      <w:r>
        <w:separator/>
      </w:r>
    </w:p>
  </w:endnote>
  <w:endnote w:type="continuationSeparator" w:id="0">
    <w:p w:rsidR="00643C15" w:rsidRDefault="00643C15" w:rsidP="008A25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15" w:rsidRDefault="00643C15" w:rsidP="008A2514">
      <w:pPr>
        <w:spacing w:after="0"/>
      </w:pPr>
      <w:r>
        <w:separator/>
      </w:r>
    </w:p>
  </w:footnote>
  <w:footnote w:type="continuationSeparator" w:id="0">
    <w:p w:rsidR="00643C15" w:rsidRDefault="00643C15" w:rsidP="008A25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D57" w:rsidRPr="004260B2" w:rsidRDefault="004260B2" w:rsidP="00D62728">
    <w:pPr>
      <w:pStyle w:val="En-tte"/>
      <w:pBdr>
        <w:bottom w:val="single" w:sz="4" w:space="1" w:color="auto"/>
      </w:pBdr>
      <w:jc w:val="center"/>
    </w:pPr>
    <w:r w:rsidRPr="004260B2">
      <w:rPr>
        <w:rFonts w:eastAsia="Times New Roman" w:cs="Times New Roman"/>
        <w:sz w:val="18"/>
        <w:szCs w:val="18"/>
        <w:lang w:val="de-DE" w:eastAsia="de-DE"/>
      </w:rPr>
      <w:t>CICOMM2018, 09</w:t>
    </w:r>
    <w:r w:rsidR="004E55A9">
      <w:rPr>
        <w:rFonts w:eastAsia="Times New Roman" w:cs="Times New Roman"/>
        <w:sz w:val="18"/>
        <w:szCs w:val="18"/>
        <w:lang w:val="de-DE" w:eastAsia="de-DE"/>
      </w:rPr>
      <w:t>-</w:t>
    </w:r>
    <w:r w:rsidRPr="004260B2">
      <w:rPr>
        <w:rFonts w:eastAsia="Times New Roman" w:cs="Times New Roman"/>
        <w:sz w:val="18"/>
        <w:szCs w:val="18"/>
        <w:lang w:val="de-DE" w:eastAsia="de-DE"/>
      </w:rPr>
      <w:t xml:space="preserve">10 </w:t>
    </w:r>
    <w:proofErr w:type="spellStart"/>
    <w:r>
      <w:rPr>
        <w:rFonts w:eastAsia="Times New Roman" w:cs="Times New Roman"/>
        <w:sz w:val="18"/>
        <w:szCs w:val="18"/>
        <w:lang w:val="de-DE" w:eastAsia="de-DE"/>
      </w:rPr>
      <w:t>o</w:t>
    </w:r>
    <w:r w:rsidRPr="004260B2">
      <w:rPr>
        <w:rFonts w:eastAsia="Times New Roman" w:cs="Times New Roman"/>
        <w:sz w:val="18"/>
        <w:szCs w:val="18"/>
        <w:lang w:val="de-DE" w:eastAsia="de-DE"/>
      </w:rPr>
      <w:t>ctobre</w:t>
    </w:r>
    <w:proofErr w:type="spellEnd"/>
    <w:r w:rsidRPr="004260B2">
      <w:rPr>
        <w:rFonts w:eastAsia="Times New Roman" w:cs="Times New Roman"/>
        <w:sz w:val="18"/>
        <w:szCs w:val="18"/>
        <w:lang w:val="de-DE" w:eastAsia="de-DE"/>
      </w:rPr>
      <w:t xml:space="preserve"> 2018, Alger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31C"/>
    <w:multiLevelType w:val="hybridMultilevel"/>
    <w:tmpl w:val="A4AE1CB6"/>
    <w:lvl w:ilvl="0" w:tplc="EFF422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F25"/>
    <w:multiLevelType w:val="hybridMultilevel"/>
    <w:tmpl w:val="E04A1108"/>
    <w:lvl w:ilvl="0" w:tplc="E656342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31E"/>
    <w:multiLevelType w:val="multilevel"/>
    <w:tmpl w:val="0128B15E"/>
    <w:styleLink w:val="Style1"/>
    <w:lvl w:ilvl="0">
      <w:start w:val="1"/>
      <w:numFmt w:val="decimal"/>
      <w:lvlText w:val="[%1] "/>
      <w:lvlJc w:val="left"/>
      <w:pPr>
        <w:ind w:left="28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2CE92DB2"/>
    <w:multiLevelType w:val="hybridMultilevel"/>
    <w:tmpl w:val="6410142A"/>
    <w:lvl w:ilvl="0" w:tplc="66ECEF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55413"/>
    <w:multiLevelType w:val="multilevel"/>
    <w:tmpl w:val="0128B15E"/>
    <w:numStyleLink w:val="Style1"/>
  </w:abstractNum>
  <w:abstractNum w:abstractNumId="5" w15:restartNumberingAfterBreak="0">
    <w:nsid w:val="7A7C41E5"/>
    <w:multiLevelType w:val="hybridMultilevel"/>
    <w:tmpl w:val="A4C00BD6"/>
    <w:lvl w:ilvl="0" w:tplc="17B4DC5E">
      <w:start w:val="1"/>
      <w:numFmt w:val="decimal"/>
      <w:lvlText w:val="[%1] "/>
      <w:lvlJc w:val="left"/>
      <w:pPr>
        <w:ind w:left="38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514"/>
    <w:rsid w:val="000008CE"/>
    <w:rsid w:val="000F433F"/>
    <w:rsid w:val="001509BD"/>
    <w:rsid w:val="00161F02"/>
    <w:rsid w:val="001D4B68"/>
    <w:rsid w:val="002363BB"/>
    <w:rsid w:val="002E4CBC"/>
    <w:rsid w:val="00315E0A"/>
    <w:rsid w:val="004049B8"/>
    <w:rsid w:val="004260B2"/>
    <w:rsid w:val="0043619C"/>
    <w:rsid w:val="004E4D41"/>
    <w:rsid w:val="004E55A9"/>
    <w:rsid w:val="004E5D57"/>
    <w:rsid w:val="004F13D1"/>
    <w:rsid w:val="00514E27"/>
    <w:rsid w:val="00554FD4"/>
    <w:rsid w:val="005712E2"/>
    <w:rsid w:val="00573953"/>
    <w:rsid w:val="0059702F"/>
    <w:rsid w:val="005A0BA9"/>
    <w:rsid w:val="005A5982"/>
    <w:rsid w:val="005F6278"/>
    <w:rsid w:val="00643C15"/>
    <w:rsid w:val="006731CB"/>
    <w:rsid w:val="006D723F"/>
    <w:rsid w:val="00760F24"/>
    <w:rsid w:val="00767CB0"/>
    <w:rsid w:val="007D18F0"/>
    <w:rsid w:val="00852CDD"/>
    <w:rsid w:val="008A2514"/>
    <w:rsid w:val="008B16DC"/>
    <w:rsid w:val="00906473"/>
    <w:rsid w:val="009449BA"/>
    <w:rsid w:val="00994E79"/>
    <w:rsid w:val="00A738CC"/>
    <w:rsid w:val="00A76B7A"/>
    <w:rsid w:val="00B71698"/>
    <w:rsid w:val="00C26C23"/>
    <w:rsid w:val="00C337DC"/>
    <w:rsid w:val="00C728F6"/>
    <w:rsid w:val="00C867BD"/>
    <w:rsid w:val="00CB6E4C"/>
    <w:rsid w:val="00D35AFE"/>
    <w:rsid w:val="00D62728"/>
    <w:rsid w:val="00D7486C"/>
    <w:rsid w:val="00D84ACA"/>
    <w:rsid w:val="00DA2846"/>
    <w:rsid w:val="00DC3763"/>
    <w:rsid w:val="00DD4F2F"/>
    <w:rsid w:val="00DD5B12"/>
    <w:rsid w:val="00E037F7"/>
    <w:rsid w:val="00E51DD7"/>
    <w:rsid w:val="00E609FF"/>
    <w:rsid w:val="00E9608F"/>
    <w:rsid w:val="00EA1F80"/>
    <w:rsid w:val="00EB3AD8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D906F"/>
  <w15:docId w15:val="{013BA222-5CB6-47B1-9538-65AC5B92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2E2"/>
    <w:pPr>
      <w:spacing w:after="12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609FF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D723F"/>
    <w:pPr>
      <w:keepNext/>
      <w:keepLines/>
      <w:numPr>
        <w:numId w:val="6"/>
      </w:numPr>
      <w:tabs>
        <w:tab w:val="left" w:pos="284"/>
      </w:tabs>
      <w:spacing w:before="240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D4B68"/>
    <w:pPr>
      <w:keepNext/>
      <w:keepLines/>
      <w:spacing w:before="120"/>
      <w:ind w:left="170"/>
      <w:outlineLvl w:val="2"/>
    </w:pPr>
    <w:rPr>
      <w:rFonts w:eastAsiaTheme="majorEastAsia" w:cstheme="majorBidi"/>
      <w:b/>
      <w:bCs/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251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A2514"/>
  </w:style>
  <w:style w:type="paragraph" w:styleId="Pieddepage">
    <w:name w:val="footer"/>
    <w:basedOn w:val="Normal"/>
    <w:link w:val="PieddepageCar"/>
    <w:uiPriority w:val="99"/>
    <w:unhideWhenUsed/>
    <w:rsid w:val="008A251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A2514"/>
  </w:style>
  <w:style w:type="paragraph" w:customStyle="1" w:styleId="yiv7073455479msonormal">
    <w:name w:val="yiv7073455479msonormal"/>
    <w:basedOn w:val="Normal"/>
    <w:rsid w:val="00DC37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fr-FR"/>
    </w:rPr>
  </w:style>
  <w:style w:type="character" w:customStyle="1" w:styleId="yiv7073455479spelle">
    <w:name w:val="yiv7073455479spelle"/>
    <w:basedOn w:val="Policepardfaut"/>
    <w:rsid w:val="00DC3763"/>
  </w:style>
  <w:style w:type="character" w:customStyle="1" w:styleId="apple-converted-space">
    <w:name w:val="apple-converted-space"/>
    <w:basedOn w:val="Policepardfaut"/>
    <w:rsid w:val="00DC3763"/>
  </w:style>
  <w:style w:type="character" w:customStyle="1" w:styleId="yiv7073455479grame">
    <w:name w:val="yiv7073455479grame"/>
    <w:basedOn w:val="Policepardfaut"/>
    <w:rsid w:val="00DC3763"/>
  </w:style>
  <w:style w:type="paragraph" w:styleId="Textedebulles">
    <w:name w:val="Balloon Text"/>
    <w:basedOn w:val="Normal"/>
    <w:link w:val="TextedebullesCar"/>
    <w:uiPriority w:val="99"/>
    <w:semiHidden/>
    <w:unhideWhenUsed/>
    <w:rsid w:val="00D748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86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B6E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6E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6E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6E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6E4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B6E4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609FF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723F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D4B68"/>
    <w:rPr>
      <w:rFonts w:ascii="Times New Roman" w:eastAsiaTheme="majorEastAsia" w:hAnsi="Times New Roman" w:cstheme="majorBidi"/>
      <w:b/>
      <w:bCs/>
      <w:i/>
      <w:sz w:val="20"/>
    </w:rPr>
  </w:style>
  <w:style w:type="paragraph" w:styleId="Paragraphedeliste">
    <w:name w:val="List Paragraph"/>
    <w:basedOn w:val="Normal"/>
    <w:uiPriority w:val="34"/>
    <w:qFormat/>
    <w:rsid w:val="00C26C23"/>
    <w:pPr>
      <w:ind w:left="720"/>
      <w:contextualSpacing/>
    </w:pPr>
  </w:style>
  <w:style w:type="numbering" w:customStyle="1" w:styleId="Style1">
    <w:name w:val="Style1"/>
    <w:uiPriority w:val="99"/>
    <w:rsid w:val="00C26C2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6A89-7639-44ED-968B-AE9C4DF2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1ère Conférence Internationale de Construction Métallique et Mixte CICOMM’2015.                                                               Tlemcen, 12 et 13 Octobre 2015, EUROSTEEL 2014, September 10-12, 2014, Naples, Italy 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1ère Conférence Internationale de Construction Métallique et Mixte CICOMM’2015.                                                               Tlemcen, 12 et 13 Octobre 2015, EUROSTEEL 2014, September 10-12, 2014, Naples, Italy </dc:title>
  <dc:creator>NADIR</dc:creator>
  <cp:lastModifiedBy>AB</cp:lastModifiedBy>
  <cp:revision>39</cp:revision>
  <cp:lastPrinted>2014-09-24T20:53:00Z</cp:lastPrinted>
  <dcterms:created xsi:type="dcterms:W3CDTF">2014-09-22T20:59:00Z</dcterms:created>
  <dcterms:modified xsi:type="dcterms:W3CDTF">2018-02-12T06:04:00Z</dcterms:modified>
</cp:coreProperties>
</file>